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95" w:lineRule="auto"/>
        <w:ind w:left="63" w:firstLine="0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O CONCORRENTE DEVERÁ REUNIR TODOS OS DOCUMENTOS E/OU LINKS PARA A ETAPA DE SELEÇÃO</w:t>
      </w:r>
    </w:p>
    <w:p w:rsidR="00000000" w:rsidDel="00000000" w:rsidP="00000000" w:rsidRDefault="00000000" w:rsidRPr="00000000" w14:paraId="00000002">
      <w:pPr>
        <w:spacing w:before="195" w:lineRule="auto"/>
        <w:ind w:left="63" w:firstLine="0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4"/>
        </w:tabs>
        <w:spacing w:after="0" w:before="54" w:line="276" w:lineRule="auto"/>
        <w:ind w:left="45" w:right="136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Currículo artístico do(a) concorrente, contendo histórico de atuação e as atividades realizadas ao longo da sua trajetória.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0"/>
        </w:tabs>
        <w:spacing w:after="0" w:before="0" w:line="276" w:lineRule="auto"/>
        <w:ind w:left="45" w:right="136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Portfólio que comprove a atuação do grupo, coletivos ou associação cultural concorrente mediante documentação comprobatória, especialmente das atividades citadas no currículo. Tais como: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25"/>
        </w:tabs>
        <w:spacing w:after="0" w:before="1" w:line="276" w:lineRule="auto"/>
        <w:ind w:left="1485" w:right="128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Folders, panfletos e cartazes de eventos realizados pelo grupo ou que este tenha participado, desde que apresentem de forma evidente o nome do coletivo ou associação.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45"/>
        </w:tabs>
        <w:spacing w:after="0" w:before="0" w:line="276" w:lineRule="auto"/>
        <w:ind w:left="1485" w:right="126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Notas fiscais ou contratos de prestação de serviços efetuados pelo grupo, desde que acompanhados de elementos que confirmem a realização dos serviços;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54"/>
        </w:tabs>
        <w:spacing w:after="0" w:before="0" w:line="276" w:lineRule="auto"/>
        <w:ind w:left="1485" w:right="132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Declarações de reconhecimento de trajetória emitidas por grupos, coletivos e associações culturais ou instituições públicas ou privadas;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79"/>
        </w:tabs>
        <w:spacing w:after="0" w:before="0" w:line="276" w:lineRule="auto"/>
        <w:ind w:left="1485" w:right="122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Matérias de jornais ou sites de internet que </w:t>
      </w:r>
      <w:r w:rsidDel="00000000" w:rsidR="00000000" w:rsidRPr="00000000">
        <w:rPr>
          <w:rtl w:val="0"/>
        </w:rPr>
        <w:t xml:space="preserve">mencionam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explicitamente a atuação do grupo, contanto que destaquem claramente o nome do proponente ou grupo que está inserido;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48"/>
        </w:tabs>
        <w:spacing w:after="0" w:before="0" w:line="240" w:lineRule="auto"/>
        <w:ind w:left="1748" w:right="0" w:hanging="263.0000000000001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Vídeos e fotos com a devida descrição e data.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7"/>
        </w:tabs>
        <w:spacing w:after="0" w:before="0" w:line="276" w:lineRule="auto"/>
        <w:ind w:left="45" w:right="125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Comprovação que o grupo concorrente tem sede ou espaço de ensaio ou atuação cultural localizado em favela, comunidade periférica ou zona rural, quando for o caso;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5"/>
        </w:tabs>
        <w:spacing w:after="0" w:before="1" w:line="276" w:lineRule="auto"/>
        <w:ind w:left="45" w:right="135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Comprovação de atuação do grupo concorrente no carnaval de 2025, podendo englobar: fotos, vídeos, declarações, certificados, notas fiscais, clipagem etc.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"/>
        </w:tabs>
        <w:spacing w:after="0" w:before="0" w:line="240" w:lineRule="auto"/>
        <w:ind w:left="45" w:right="123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Autodeclaração para concorrentes que optaram pelas ações afirmativas, sendo através das cotas étnico - sociais ou critérios diferenciados de pontuação (Anexo 1 - Autodeclaração para Ações Afirmativas e Critérios Diferenciados de Pontuação) preenchida e assinada, acompanhada de eventuais documentos adicionais que se encontram listados no referido anexo.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1"/>
        </w:tabs>
        <w:spacing w:after="0" w:before="0" w:line="240" w:lineRule="auto"/>
        <w:ind w:left="45" w:right="123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e1115"/>
          <w:sz w:val="22"/>
          <w:szCs w:val="22"/>
          <w:u w:val="none"/>
          <w:shd w:fill="auto" w:val="clear"/>
          <w:vertAlign w:val="baseline"/>
          <w:rtl w:val="0"/>
        </w:rPr>
        <w:t xml:space="preserve">Declaração de Representatividade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e1115"/>
          <w:sz w:val="22"/>
          <w:szCs w:val="22"/>
          <w:u w:val="none"/>
          <w:shd w:fill="auto" w:val="clear"/>
          <w:vertAlign w:val="baseline"/>
          <w:rtl w:val="0"/>
        </w:rPr>
        <w:t xml:space="preserve">, em modelo constante do Anexo 5 - Modelo de Declaração de Representatividade, indicando expressamente a pessoa jurídica que atuará como seu proponente neste certame.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53"/>
        </w:tabs>
        <w:spacing w:after="0" w:before="159" w:line="259" w:lineRule="auto"/>
        <w:ind w:left="1485" w:right="123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e1115"/>
          <w:sz w:val="22"/>
          <w:szCs w:val="22"/>
          <w:u w:val="none"/>
          <w:shd w:fill="auto" w:val="clear"/>
          <w:vertAlign w:val="baseline"/>
          <w:rtl w:val="0"/>
        </w:rPr>
        <w:t xml:space="preserve">A Declaração de Representatividade deverá ser assinada por todos os membros do grupo indicados no formulário de inscrição, ficando o proponente responsável por sua guarda 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e1115"/>
          <w:sz w:val="22"/>
          <w:szCs w:val="22"/>
          <w:u w:val="none"/>
          <w:shd w:fill="auto" w:val="clear"/>
          <w:vertAlign w:val="baseline"/>
          <w:rtl w:val="0"/>
        </w:rPr>
        <w:t xml:space="preserve">eventual apresentação, quando solicitada pela comissão avaliadora ou pela Secretaria de Estado da Cultura.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63"/>
        </w:tabs>
        <w:spacing w:after="0" w:before="159" w:line="259" w:lineRule="auto"/>
        <w:ind w:left="1485" w:right="123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e1115"/>
          <w:sz w:val="22"/>
          <w:szCs w:val="22"/>
          <w:u w:val="none"/>
          <w:shd w:fill="auto" w:val="clear"/>
          <w:vertAlign w:val="baseline"/>
          <w:rtl w:val="0"/>
        </w:rPr>
        <w:t xml:space="preserve">Caso o próprio grupo já possua CNPJ constituído em seu nome e opte por atuar simultaneamente como concorrente e proponente, a apresentação da Declaração de Representatividade ficará dispensada, desde que o CNPJ utilizado na inscrição corresponda ao mesmo coletivo cultural concorrente.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20" w:orient="portrait"/>
      <w:pgMar w:bottom="280" w:top="2400" w:left="1275" w:right="850" w:header="55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3371215" cy="457200"/>
          <wp:effectExtent b="0" l="0" r="0" t="0"/>
          <wp:docPr descr="Uma imagem contendo Interface gráfica do usuário&#10;&#10;O conteúdo gerado por IA pode estar incorreto." id="1248653102" name="image2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71215" cy="457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ind w:left="445" w:firstLine="0"/>
      <w:jc w:val="center"/>
      <w:rPr>
        <w:b w:val="1"/>
        <w:bCs w:val="1"/>
      </w:rPr>
    </w:pPr>
    <w:r w:rsidDel="00000000" w:rsidR="00000000" w:rsidRPr="00000000">
      <w:rPr>
        <w:b w:val="1"/>
        <w:bCs w:val="1"/>
      </w:rPr>
      <w:pict>
        <v:shape id="WordPictureWatermark1" style="position:absolute;width:600.75pt;height:765.6pt;rotation:0;z-index:-503316481;mso-position-horizontal-relative:margin;mso-position-horizontal:absolute;margin-left:-66.01771653543307pt;mso-position-vertical-relative:margin;mso-position-vertical:absolute;margin-top:-119.77720841535434pt;" alt="" type="#_x0000_t75">
          <v:imagedata cropbottom="4228f" cropleft="0f" cropright="0f" croptop="0f" r:id="rId1" o:title="image1.pn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ind w:left="445" w:firstLine="0"/>
      <w:jc w:val="center"/>
      <w:rPr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ind w:left="445" w:firstLine="0"/>
      <w:jc w:val="center"/>
      <w:rPr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ind w:left="445" w:firstLine="0"/>
      <w:jc w:val="center"/>
      <w:rPr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ind w:left="445" w:firstLine="0"/>
      <w:jc w:val="center"/>
      <w:rPr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ind w:left="445" w:firstLine="0"/>
      <w:jc w:val="center"/>
      <w:rPr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ind w:left="445" w:firstLine="0"/>
      <w:jc w:val="cente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ESTADO DE PERNAMBUCO</w:t>
    </w:r>
  </w:p>
  <w:p w:rsidR="00000000" w:rsidDel="00000000" w:rsidP="00000000" w:rsidRDefault="00000000" w:rsidRPr="00000000" w14:paraId="00000019">
    <w:pPr>
      <w:ind w:left="445" w:firstLine="0"/>
      <w:jc w:val="cente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PREFEITURA MUNICIPAL DE TAQUARITINGA DO NORTE </w:t>
    </w:r>
  </w:p>
  <w:p w:rsidR="00000000" w:rsidDel="00000000" w:rsidP="00000000" w:rsidRDefault="00000000" w:rsidRPr="00000000" w14:paraId="0000001A">
    <w:pPr>
      <w:ind w:left="445" w:firstLine="0"/>
      <w:jc w:val="center"/>
      <w:rPr/>
    </w:pPr>
    <w:r w:rsidDel="00000000" w:rsidR="00000000" w:rsidRPr="00000000">
      <w:rPr>
        <w:b w:val="1"/>
        <w:bCs w:val="1"/>
        <w:rtl w:val="0"/>
      </w:rPr>
      <w:t xml:space="preserve">FUNTART - Fundação Taquaritinguense de Artes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tabs>
        <w:tab w:val="center" w:leader="none" w:pos="4252"/>
        <w:tab w:val="right" w:leader="none" w:pos="8504"/>
      </w:tabs>
      <w:jc w:val="center"/>
      <w:rPr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tabs>
        <w:tab w:val="center" w:leader="none" w:pos="4252"/>
        <w:tab w:val="right" w:leader="none" w:pos="8504"/>
      </w:tabs>
      <w:jc w:val="center"/>
      <w:rPr>
        <w:b w:val="1"/>
        <w:bCs w:val="1"/>
        <w:sz w:val="36"/>
        <w:szCs w:val="36"/>
      </w:rPr>
    </w:pPr>
    <w:r w:rsidDel="00000000" w:rsidR="00000000" w:rsidRPr="00000000">
      <w:rPr>
        <w:b w:val="1"/>
        <w:bCs w:val="1"/>
        <w:sz w:val="36"/>
        <w:szCs w:val="36"/>
        <w:rtl w:val="0"/>
      </w:rPr>
      <w:t xml:space="preserve">ANEXO III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Roman"/>
      <w:lvlText w:val="%1."/>
      <w:lvlJc w:val="left"/>
      <w:pPr>
        <w:ind w:left="1485" w:hanging="171"/>
      </w:pPr>
      <w:rPr>
        <w:rFonts w:ascii="Calibri" w:cs="Calibri" w:eastAsia="Calibri" w:hAnsi="Calibri"/>
        <w:b w:val="0"/>
        <w:bCs w:val="0"/>
        <w:i w:val="0"/>
        <w:iCs w:val="0"/>
        <w:color w:val="0e1115"/>
        <w:sz w:val="22"/>
        <w:szCs w:val="22"/>
      </w:rPr>
    </w:lvl>
    <w:lvl w:ilvl="1">
      <w:start w:val="0"/>
      <w:numFmt w:val="bullet"/>
      <w:lvlText w:val="•"/>
      <w:lvlJc w:val="left"/>
      <w:pPr>
        <w:ind w:left="2311" w:hanging="171"/>
      </w:pPr>
      <w:rPr/>
    </w:lvl>
    <w:lvl w:ilvl="2">
      <w:start w:val="0"/>
      <w:numFmt w:val="bullet"/>
      <w:lvlText w:val="•"/>
      <w:lvlJc w:val="left"/>
      <w:pPr>
        <w:ind w:left="3143" w:hanging="171"/>
      </w:pPr>
      <w:rPr/>
    </w:lvl>
    <w:lvl w:ilvl="3">
      <w:start w:val="0"/>
      <w:numFmt w:val="bullet"/>
      <w:lvlText w:val="•"/>
      <w:lvlJc w:val="left"/>
      <w:pPr>
        <w:ind w:left="3974" w:hanging="171.00000000000045"/>
      </w:pPr>
      <w:rPr/>
    </w:lvl>
    <w:lvl w:ilvl="4">
      <w:start w:val="0"/>
      <w:numFmt w:val="bullet"/>
      <w:lvlText w:val="•"/>
      <w:lvlJc w:val="left"/>
      <w:pPr>
        <w:ind w:left="4806" w:hanging="171"/>
      </w:pPr>
      <w:rPr/>
    </w:lvl>
    <w:lvl w:ilvl="5">
      <w:start w:val="0"/>
      <w:numFmt w:val="bullet"/>
      <w:lvlText w:val="•"/>
      <w:lvlJc w:val="left"/>
      <w:pPr>
        <w:ind w:left="5637" w:hanging="171"/>
      </w:pPr>
      <w:rPr/>
    </w:lvl>
    <w:lvl w:ilvl="6">
      <w:start w:val="0"/>
      <w:numFmt w:val="bullet"/>
      <w:lvlText w:val="•"/>
      <w:lvlJc w:val="left"/>
      <w:pPr>
        <w:ind w:left="6469" w:hanging="171"/>
      </w:pPr>
      <w:rPr/>
    </w:lvl>
    <w:lvl w:ilvl="7">
      <w:start w:val="0"/>
      <w:numFmt w:val="bullet"/>
      <w:lvlText w:val="•"/>
      <w:lvlJc w:val="left"/>
      <w:pPr>
        <w:ind w:left="7300" w:hanging="171"/>
      </w:pPr>
      <w:rPr/>
    </w:lvl>
    <w:lvl w:ilvl="8">
      <w:start w:val="0"/>
      <w:numFmt w:val="bullet"/>
      <w:lvlText w:val="•"/>
      <w:lvlJc w:val="left"/>
      <w:pPr>
        <w:ind w:left="8132" w:hanging="171"/>
      </w:pPr>
      <w:rPr/>
    </w:lvl>
  </w:abstractNum>
  <w:abstractNum w:abstractNumId="2">
    <w:lvl w:ilvl="0">
      <w:start w:val="3"/>
      <w:numFmt w:val="lowerRoman"/>
      <w:lvlText w:val="%1)"/>
      <w:lvlJc w:val="left"/>
      <w:pPr>
        <w:ind w:left="1485" w:hanging="298"/>
      </w:pPr>
      <w:rPr>
        <w:rFonts w:ascii="Calibri" w:cs="Calibri" w:eastAsia="Calibri" w:hAnsi="Calibri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2311" w:hanging="298.0000000000002"/>
      </w:pPr>
      <w:rPr/>
    </w:lvl>
    <w:lvl w:ilvl="2">
      <w:start w:val="0"/>
      <w:numFmt w:val="bullet"/>
      <w:lvlText w:val="•"/>
      <w:lvlJc w:val="left"/>
      <w:pPr>
        <w:ind w:left="3143" w:hanging="298"/>
      </w:pPr>
      <w:rPr/>
    </w:lvl>
    <w:lvl w:ilvl="3">
      <w:start w:val="0"/>
      <w:numFmt w:val="bullet"/>
      <w:lvlText w:val="•"/>
      <w:lvlJc w:val="left"/>
      <w:pPr>
        <w:ind w:left="3974" w:hanging="298.00000000000045"/>
      </w:pPr>
      <w:rPr/>
    </w:lvl>
    <w:lvl w:ilvl="4">
      <w:start w:val="0"/>
      <w:numFmt w:val="bullet"/>
      <w:lvlText w:val="•"/>
      <w:lvlJc w:val="left"/>
      <w:pPr>
        <w:ind w:left="4806" w:hanging="298"/>
      </w:pPr>
      <w:rPr/>
    </w:lvl>
    <w:lvl w:ilvl="5">
      <w:start w:val="0"/>
      <w:numFmt w:val="bullet"/>
      <w:lvlText w:val="•"/>
      <w:lvlJc w:val="left"/>
      <w:pPr>
        <w:ind w:left="5637" w:hanging="297.9999999999991"/>
      </w:pPr>
      <w:rPr/>
    </w:lvl>
    <w:lvl w:ilvl="6">
      <w:start w:val="0"/>
      <w:numFmt w:val="bullet"/>
      <w:lvlText w:val="•"/>
      <w:lvlJc w:val="left"/>
      <w:pPr>
        <w:ind w:left="6469" w:hanging="298"/>
      </w:pPr>
      <w:rPr/>
    </w:lvl>
    <w:lvl w:ilvl="7">
      <w:start w:val="0"/>
      <w:numFmt w:val="bullet"/>
      <w:lvlText w:val="•"/>
      <w:lvlJc w:val="left"/>
      <w:pPr>
        <w:ind w:left="7300" w:hanging="298"/>
      </w:pPr>
      <w:rPr/>
    </w:lvl>
    <w:lvl w:ilvl="8">
      <w:start w:val="0"/>
      <w:numFmt w:val="bullet"/>
      <w:lvlText w:val="•"/>
      <w:lvlJc w:val="left"/>
      <w:pPr>
        <w:ind w:left="8132" w:hanging="297.9999999999991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45" w:hanging="720"/>
      </w:pPr>
      <w:rPr>
        <w:rFonts w:ascii="Calibri" w:cs="Calibri" w:eastAsia="Calibri" w:hAnsi="Calibri"/>
        <w:b w:val="0"/>
        <w:bCs w:val="0"/>
        <w:i w:val="0"/>
        <w:iCs w:val="0"/>
        <w:sz w:val="22"/>
        <w:szCs w:val="22"/>
      </w:rPr>
    </w:lvl>
    <w:lvl w:ilvl="1">
      <w:start w:val="1"/>
      <w:numFmt w:val="lowerRoman"/>
      <w:lvlText w:val="%2)"/>
      <w:lvlJc w:val="left"/>
      <w:pPr>
        <w:ind w:left="1485" w:hanging="242"/>
      </w:pPr>
      <w:rPr>
        <w:rFonts w:ascii="Calibri" w:cs="Calibri" w:eastAsia="Calibri" w:hAnsi="Calibri"/>
        <w:b w:val="0"/>
        <w:bCs w:val="0"/>
        <w:i w:val="0"/>
        <w:iCs w:val="0"/>
        <w:sz w:val="22"/>
        <w:szCs w:val="22"/>
      </w:rPr>
    </w:lvl>
    <w:lvl w:ilvl="2">
      <w:start w:val="0"/>
      <w:numFmt w:val="bullet"/>
      <w:lvlText w:val="•"/>
      <w:lvlJc w:val="left"/>
      <w:pPr>
        <w:ind w:left="2403" w:hanging="242"/>
      </w:pPr>
      <w:rPr/>
    </w:lvl>
    <w:lvl w:ilvl="3">
      <w:start w:val="0"/>
      <w:numFmt w:val="bullet"/>
      <w:lvlText w:val="•"/>
      <w:lvlJc w:val="left"/>
      <w:pPr>
        <w:ind w:left="3327" w:hanging="242"/>
      </w:pPr>
      <w:rPr/>
    </w:lvl>
    <w:lvl w:ilvl="4">
      <w:start w:val="0"/>
      <w:numFmt w:val="bullet"/>
      <w:lvlText w:val="•"/>
      <w:lvlJc w:val="left"/>
      <w:pPr>
        <w:ind w:left="4251" w:hanging="241.99999999999955"/>
      </w:pPr>
      <w:rPr/>
    </w:lvl>
    <w:lvl w:ilvl="5">
      <w:start w:val="0"/>
      <w:numFmt w:val="bullet"/>
      <w:lvlText w:val="•"/>
      <w:lvlJc w:val="left"/>
      <w:pPr>
        <w:ind w:left="5175" w:hanging="242"/>
      </w:pPr>
      <w:rPr/>
    </w:lvl>
    <w:lvl w:ilvl="6">
      <w:start w:val="0"/>
      <w:numFmt w:val="bullet"/>
      <w:lvlText w:val="•"/>
      <w:lvlJc w:val="left"/>
      <w:pPr>
        <w:ind w:left="6099" w:hanging="242.0000000000009"/>
      </w:pPr>
      <w:rPr/>
    </w:lvl>
    <w:lvl w:ilvl="7">
      <w:start w:val="0"/>
      <w:numFmt w:val="bullet"/>
      <w:lvlText w:val="•"/>
      <w:lvlJc w:val="left"/>
      <w:pPr>
        <w:ind w:left="7023" w:hanging="242.0000000000009"/>
      </w:pPr>
      <w:rPr/>
    </w:lvl>
    <w:lvl w:ilvl="8">
      <w:start w:val="0"/>
      <w:numFmt w:val="bullet"/>
      <w:lvlText w:val="•"/>
      <w:lvlJc w:val="left"/>
      <w:pPr>
        <w:ind w:left="7947" w:hanging="242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746F3A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746F3A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746F3A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746F3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746F3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746F3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746F3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746F3A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746F3A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746F3A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746F3A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746F3A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746F3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746F3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746F3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746F3A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1"/>
    <w:qFormat w:val="1"/>
    <w:rsid w:val="00746F3A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746F3A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746F3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746F3A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746F3A"/>
    <w:rPr>
      <w:b w:val="1"/>
      <w:bCs w:val="1"/>
      <w:smallCaps w:val="1"/>
      <w:color w:val="0f4761" w:themeColor="accent1" w:themeShade="0000BF"/>
      <w:spacing w:val="5"/>
    </w:rPr>
  </w:style>
  <w:style w:type="paragraph" w:styleId="Corpodetexto">
    <w:name w:val="Body Text"/>
    <w:basedOn w:val="Normal"/>
    <w:link w:val="CorpodetextoChar"/>
    <w:uiPriority w:val="1"/>
    <w:qFormat w:val="1"/>
    <w:rsid w:val="00746F3A"/>
  </w:style>
  <w:style w:type="character" w:styleId="CorpodetextoChar" w:customStyle="1">
    <w:name w:val="Corpo de texto Char"/>
    <w:basedOn w:val="Fontepargpadro"/>
    <w:link w:val="Corpodetexto"/>
    <w:uiPriority w:val="1"/>
    <w:rsid w:val="00746F3A"/>
    <w:rPr>
      <w:rFonts w:ascii="Calibri" w:cs="Calibri" w:eastAsia="Calibri" w:hAnsi="Calibri"/>
      <w:kern w:val="0"/>
      <w:lang w:val="pt-PT"/>
    </w:rPr>
  </w:style>
  <w:style w:type="paragraph" w:styleId="Cabealho">
    <w:name w:val="header"/>
    <w:basedOn w:val="Normal"/>
    <w:link w:val="CabealhoChar"/>
    <w:uiPriority w:val="99"/>
    <w:unhideWhenUsed w:val="1"/>
    <w:rsid w:val="00746F3A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746F3A"/>
    <w:rPr>
      <w:rFonts w:ascii="Calibri" w:cs="Calibri" w:eastAsia="Calibri" w:hAnsi="Calibri"/>
      <w:kern w:val="0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746F3A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746F3A"/>
    <w:rPr>
      <w:rFonts w:ascii="Calibri" w:cs="Calibri" w:eastAsia="Calibri" w:hAnsi="Calibri"/>
      <w:kern w:val="0"/>
      <w:lang w:val="pt-PT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pnpvsxm3FhV4Lh4jRVy1FKdoqw==">CgMxLjA4AHIhMVRGLVNqT1kyZHUyXzR1c2pMQ1U4dlhjUWtwejlkaDVU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2026-01-27T17:13:00Z</dcterms:created>
  <dc:creator>Erasmo Rafael</dc:creator>
</cp:coreProperties>
</file>